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4097"/>
        <w:gridCol w:w="2052"/>
      </w:tblGrid>
      <w:tr w:rsidR="00741A95" w:rsidRPr="00741A95" w14:paraId="662662F6" w14:textId="77777777" w:rsidTr="0043236B">
        <w:trPr>
          <w:trHeight w:val="15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0A587971" w14:textId="2A528A29" w:rsidR="00741A95" w:rsidRDefault="004F3323" w:rsidP="00126424">
            <w:r w:rsidRPr="00C13493">
              <w:rPr>
                <w:b/>
                <w:bCs/>
                <w:noProof/>
                <w:color w:val="2F5496" w:themeColor="accent1" w:themeShade="BF"/>
                <w:lang w:val="en-US"/>
              </w:rPr>
              <w:drawing>
                <wp:inline distT="0" distB="0" distL="0" distR="0" wp14:anchorId="14285088" wp14:editId="01BDF6B5">
                  <wp:extent cx="1050940" cy="4193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22" cy="42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463DAF29" w14:textId="77777777" w:rsidR="004C0BFA" w:rsidRPr="00E71C0B" w:rsidRDefault="00741A95" w:rsidP="004C0BFA">
            <w:pPr>
              <w:jc w:val="center"/>
              <w:rPr>
                <w:b/>
                <w:bCs/>
                <w:color w:val="2F5496" w:themeColor="accent1" w:themeShade="BF"/>
                <w:lang w:val="el-GR"/>
              </w:rPr>
            </w:pPr>
            <w:r w:rsidRPr="00E71C0B">
              <w:rPr>
                <w:b/>
                <w:bCs/>
                <w:color w:val="2F5496" w:themeColor="accent1" w:themeShade="BF"/>
                <w:lang w:val="en-US"/>
              </w:rPr>
              <w:t>SAFE</w:t>
            </w:r>
            <w:r w:rsidRPr="00E71C0B">
              <w:rPr>
                <w:b/>
                <w:bCs/>
                <w:color w:val="2F5496" w:themeColor="accent1" w:themeShade="BF"/>
                <w:lang w:val="el-GR"/>
              </w:rPr>
              <w:t xml:space="preserve"> </w:t>
            </w:r>
            <w:r w:rsidRPr="00E71C0B">
              <w:rPr>
                <w:b/>
                <w:bCs/>
                <w:color w:val="2F5496" w:themeColor="accent1" w:themeShade="BF"/>
                <w:lang w:val="en-US"/>
              </w:rPr>
              <w:t>BULKERS</w:t>
            </w:r>
            <w:r w:rsidRPr="00E71C0B">
              <w:rPr>
                <w:b/>
                <w:bCs/>
                <w:color w:val="2F5496" w:themeColor="accent1" w:themeShade="BF"/>
                <w:lang w:val="el-GR"/>
              </w:rPr>
              <w:t xml:space="preserve"> </w:t>
            </w:r>
            <w:r w:rsidRPr="00E71C0B">
              <w:rPr>
                <w:b/>
                <w:bCs/>
                <w:color w:val="2F5496" w:themeColor="accent1" w:themeShade="BF"/>
              </w:rPr>
              <w:t>I</w:t>
            </w:r>
            <w:r w:rsidRPr="00E71C0B">
              <w:rPr>
                <w:b/>
                <w:bCs/>
                <w:color w:val="2F5496" w:themeColor="accent1" w:themeShade="BF"/>
                <w:lang w:val="en-US"/>
              </w:rPr>
              <w:t>NC</w:t>
            </w:r>
            <w:r w:rsidRPr="00E71C0B">
              <w:rPr>
                <w:b/>
                <w:bCs/>
                <w:color w:val="2F5496" w:themeColor="accent1" w:themeShade="BF"/>
                <w:lang w:val="el-GR"/>
              </w:rPr>
              <w:t>.</w:t>
            </w:r>
          </w:p>
          <w:p w14:paraId="23B963B1" w14:textId="0D918330" w:rsidR="00E45158" w:rsidRPr="00E71C0B" w:rsidRDefault="00054461" w:rsidP="002E4198">
            <w:pPr>
              <w:jc w:val="center"/>
              <w:rPr>
                <w:b/>
                <w:bCs/>
                <w:color w:val="2F5496" w:themeColor="accent1" w:themeShade="BF"/>
                <w:lang w:val="el-GR"/>
              </w:rPr>
            </w:pPr>
            <w:r w:rsidRPr="00E71C0B">
              <w:rPr>
                <w:b/>
                <w:bCs/>
                <w:color w:val="2F5496" w:themeColor="accent1" w:themeShade="BF"/>
                <w:lang w:val="el-GR"/>
              </w:rPr>
              <w:t>5</w:t>
            </w:r>
            <w:r w:rsidR="007B1467" w:rsidRPr="00E71C0B">
              <w:rPr>
                <w:b/>
                <w:bCs/>
                <w:color w:val="2F5496" w:themeColor="accent1" w:themeShade="BF"/>
                <w:vertAlign w:val="superscript"/>
                <w:lang w:val="el-GR"/>
              </w:rPr>
              <w:t>η</w:t>
            </w:r>
            <w:r w:rsidR="007B1467" w:rsidRPr="00E71C0B">
              <w:rPr>
                <w:b/>
                <w:bCs/>
                <w:color w:val="2F5496" w:themeColor="accent1" w:themeShade="BF"/>
                <w:lang w:val="el-GR"/>
              </w:rPr>
              <w:t xml:space="preserve"> </w:t>
            </w:r>
            <w:r w:rsidR="00741A95" w:rsidRPr="00E71C0B">
              <w:rPr>
                <w:b/>
                <w:bCs/>
                <w:color w:val="2F5496" w:themeColor="accent1" w:themeShade="BF"/>
                <w:lang w:val="el-GR"/>
              </w:rPr>
              <w:t xml:space="preserve">ΕΤΗΣΙΑ ΠΡΟΚΗΡΥΞΗ </w:t>
            </w:r>
            <w:r w:rsidR="002E4198" w:rsidRPr="00E71C0B">
              <w:rPr>
                <w:b/>
                <w:bCs/>
                <w:color w:val="2F5496" w:themeColor="accent1" w:themeShade="BF"/>
                <w:lang w:val="el-GR"/>
              </w:rPr>
              <w:t xml:space="preserve">ΠΡΟΓΡΑΜΜΑΤΟΣ </w:t>
            </w:r>
            <w:r w:rsidR="00741A95" w:rsidRPr="00E71C0B">
              <w:rPr>
                <w:b/>
                <w:bCs/>
                <w:color w:val="2F5496" w:themeColor="accent1" w:themeShade="BF"/>
                <w:lang w:val="el-GR"/>
              </w:rPr>
              <w:t>ΥΠΟΤΡΟΦΙΩΝ</w:t>
            </w:r>
          </w:p>
          <w:p w14:paraId="3D0ADBFC" w14:textId="0D922D78" w:rsidR="004F3323" w:rsidRPr="00E71C0B" w:rsidRDefault="0068085C" w:rsidP="0068085C">
            <w:pPr>
              <w:rPr>
                <w:b/>
                <w:bCs/>
                <w:color w:val="2F5496" w:themeColor="accent1" w:themeShade="BF"/>
                <w:u w:val="single"/>
                <w:lang w:val="el-GR"/>
              </w:rPr>
            </w:pPr>
            <w:r w:rsidRPr="00E71C0B">
              <w:rPr>
                <w:b/>
                <w:bCs/>
                <w:color w:val="2F5496" w:themeColor="accent1" w:themeShade="BF"/>
                <w:lang w:val="el-GR"/>
              </w:rPr>
              <w:t xml:space="preserve">         </w:t>
            </w:r>
            <w:r w:rsidR="002E4198" w:rsidRPr="00E71C0B">
              <w:rPr>
                <w:b/>
                <w:bCs/>
                <w:color w:val="2F5496" w:themeColor="accent1" w:themeShade="BF"/>
                <w:lang w:val="el-GR"/>
              </w:rPr>
              <w:t xml:space="preserve">  </w:t>
            </w:r>
            <w:r w:rsidR="008A1B82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>ΑΚΑΔΗΜΑΪΚΟ</w:t>
            </w:r>
            <w:r w:rsidR="00A54B9C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>Υ</w:t>
            </w:r>
            <w:r w:rsidR="008A1B82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 xml:space="preserve"> ΕΤΟ</w:t>
            </w:r>
            <w:r w:rsidR="00A54B9C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>Υ</w:t>
            </w:r>
            <w:r w:rsidR="008A1B82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 xml:space="preserve">Σ </w:t>
            </w:r>
            <w:r w:rsidR="004F3323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>202</w:t>
            </w:r>
            <w:r w:rsidR="00054461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>5</w:t>
            </w:r>
            <w:r w:rsidR="004A0E90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>-202</w:t>
            </w:r>
            <w:r w:rsidR="00054461" w:rsidRPr="00E71C0B">
              <w:rPr>
                <w:b/>
                <w:bCs/>
                <w:color w:val="2F5496" w:themeColor="accent1" w:themeShade="BF"/>
                <w:u w:val="single"/>
                <w:lang w:val="el-GR"/>
              </w:rPr>
              <w:t>6</w:t>
            </w:r>
          </w:p>
          <w:p w14:paraId="7F379CFE" w14:textId="0DD5117F" w:rsidR="00AE2D60" w:rsidRPr="004C0BFA" w:rsidRDefault="00AE2D60" w:rsidP="003A0691">
            <w:pPr>
              <w:jc w:val="center"/>
              <w:rPr>
                <w:lang w:val="el-G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138EBE47" w14:textId="32738045" w:rsidR="00741A95" w:rsidRPr="00741A95" w:rsidRDefault="004F3323" w:rsidP="00AE2D60">
            <w:pPr>
              <w:jc w:val="right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8E445C3" wp14:editId="0071BD1A">
                  <wp:extent cx="356220" cy="442413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50" cy="44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6A0" w:rsidRPr="00BC34BD" w14:paraId="25EDF91D" w14:textId="77777777" w:rsidTr="0043236B">
        <w:trPr>
          <w:trHeight w:val="11024"/>
        </w:trPr>
        <w:tc>
          <w:tcPr>
            <w:tcW w:w="8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1124B" w14:textId="77777777" w:rsidR="00A54B9C" w:rsidRDefault="004A7F00" w:rsidP="00AF3A85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</w:pPr>
            <w:r w:rsidRPr="002E4198">
              <w:rPr>
                <w:rFonts w:ascii="inherit" w:eastAsia="Times New Roman" w:hAnsi="inherit" w:cs="Segoe UI" w:hint="eastAsia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Με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επίκεντρο την </w:t>
            </w:r>
            <w:r w:rsidR="00F70B10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πολιτική </w:t>
            </w:r>
            <w:r w:rsidR="001F5263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Περιβαλλοντική</w:t>
            </w:r>
            <w:r w:rsidR="00F70B10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ς</w:t>
            </w:r>
            <w:r w:rsidR="001F5263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και Κ</w:t>
            </w:r>
            <w:r w:rsidR="001F5263" w:rsidRPr="002E4198">
              <w:rPr>
                <w:rFonts w:ascii="inherit" w:eastAsia="Times New Roman" w:hAnsi="inherit" w:cs="Segoe UI" w:hint="eastAsia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ο</w:t>
            </w:r>
            <w:r w:rsidR="001F5263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ινωνική</w:t>
            </w:r>
            <w:r w:rsidR="00F70B10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ς</w:t>
            </w:r>
            <w:r w:rsidR="001F5263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Διακυβέ</w:t>
            </w:r>
            <w:r w:rsidR="00F70B10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ρνησης (</w:t>
            </w:r>
            <w:hyperlink r:id="rId8" w:history="1">
              <w:r w:rsidR="00F70B10" w:rsidRPr="002E4198">
                <w:rPr>
                  <w:rStyle w:val="Hyperlink"/>
                  <w:rFonts w:ascii="inherit" w:eastAsia="Times New Roman" w:hAnsi="inherit" w:cs="Segoe UI"/>
                  <w:b/>
                  <w:b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val="en-US" w:eastAsia="el-GR"/>
                </w:rPr>
                <w:t>ESG</w:t>
              </w:r>
            </w:hyperlink>
            <w:r w:rsidR="00F70B10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), η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εισηγμένη στο χρηματιστήριο </w:t>
            </w:r>
            <w:r w:rsidR="003173BB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n-US" w:eastAsia="el-GR"/>
              </w:rPr>
              <w:t>NYSE</w:t>
            </w:r>
            <w:r w:rsidR="003173BB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της Νέας Υόρκης </w:t>
            </w:r>
            <w:hyperlink r:id="rId9" w:history="1">
              <w:r w:rsidR="00927182" w:rsidRPr="002E4198">
                <w:rPr>
                  <w:rStyle w:val="Hyperlink"/>
                  <w:rFonts w:ascii="inherit" w:eastAsia="Times New Roman" w:hAnsi="inherit" w:cs="Segoe UI"/>
                  <w:b/>
                  <w:b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val="el-GR" w:eastAsia="el-GR"/>
                </w:rPr>
                <w:t>SAFE BULKERS Inc</w:t>
              </w:r>
            </w:hyperlink>
            <w:r w:rsidR="00927182" w:rsidRPr="002E4198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.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 και ο Διευθύνων Σύμβουλος της, Πόλυς Β.  Χατζηωάννου,</w:t>
            </w:r>
            <w:r w:rsidR="00927182" w:rsidRPr="002E4198">
              <w:rPr>
                <w:rFonts w:ascii="inherit" w:eastAsia="Times New Roman" w:hAnsi="inherit" w:cs="Segoe UI"/>
                <w:color w:val="FF0000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ανακοινώνουν </w:t>
            </w:r>
            <w:r w:rsidR="00DF71B3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το </w:t>
            </w:r>
            <w:r w:rsidR="00054461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5</w:t>
            </w:r>
            <w:r w:rsidR="003173BB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vertAlign w:val="superscript"/>
                <w:lang w:val="el-GR" w:eastAsia="el-GR"/>
              </w:rPr>
              <w:t>o</w:t>
            </w:r>
            <w:r w:rsidR="003173BB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725119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ετήσιο </w:t>
            </w:r>
            <w:r w:rsidR="00DF71B3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πρόγραμμα υποτροφιών</w:t>
            </w:r>
            <w:r w:rsidR="00DF71B3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3173BB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για το </w:t>
            </w:r>
            <w:r w:rsidR="007C3285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ακαδημαϊκ</w:t>
            </w:r>
            <w:r w:rsidR="00A54B9C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ό</w:t>
            </w:r>
            <w:r w:rsidR="007C3285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DF71B3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έτος </w:t>
            </w:r>
          </w:p>
          <w:p w14:paraId="77F40CCF" w14:textId="71852CB5" w:rsidR="00F44BF5" w:rsidRPr="002E4198" w:rsidRDefault="00DF71B3" w:rsidP="00AF3A85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202</w:t>
            </w:r>
            <w:r w:rsidR="00F8222E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5</w:t>
            </w:r>
            <w:r w:rsidR="007C3285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-202</w:t>
            </w:r>
            <w:r w:rsidR="00F8222E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6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. </w:t>
            </w:r>
          </w:p>
          <w:p w14:paraId="55B855C9" w14:textId="77777777" w:rsidR="004A17C7" w:rsidRPr="002E4198" w:rsidRDefault="004A17C7" w:rsidP="00AF3A85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</w:p>
          <w:p w14:paraId="6564EE88" w14:textId="48EB3534" w:rsidR="00AF3A85" w:rsidRPr="002E4198" w:rsidRDefault="00DF71B3" w:rsidP="00AF3A85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Το πρόγραμμα αφορά 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4F3323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δέκα</w:t>
            </w:r>
            <w:r w:rsidR="00927182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(</w:t>
            </w:r>
            <w:r w:rsidR="004F3323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10</w:t>
            </w:r>
            <w:r w:rsidR="00927182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) υποτροφ</w:t>
            </w:r>
            <w:r w:rsidR="00E52F86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ίες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 για σπουδές σε πανεπιστημιακά ιδρύματα τ</w:t>
            </w:r>
            <w:r w:rsidR="00E52F86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ου εξωτερικού (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Ελλάδα</w:t>
            </w:r>
            <w:r w:rsidR="004A17C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,</w:t>
            </w:r>
            <w:r w:rsidR="00E52F86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Ηνωμένο </w:t>
            </w:r>
            <w:r w:rsidR="00261DC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Βασίλειο</w:t>
            </w:r>
            <w:r w:rsidR="007B146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, κ.α.</w:t>
            </w:r>
            <w:r w:rsidR="00E52F86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)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, ύψους </w:t>
            </w:r>
            <w:r w:rsidR="00927182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10.000 Ευρώ εκάστη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, για Κύπριους πολίτες ή Έλληνες πολίτες εγκατεστημένους στην Κύπρο</w:t>
            </w:r>
            <w:r w:rsidR="004A17C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, που επιδιώκουν την επαγγελματική τους </w:t>
            </w:r>
            <w:r w:rsidR="00261DC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αποκατάσταση</w:t>
            </w:r>
            <w:r w:rsidR="004A17C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στον κλάδο της Ναυτιλίας. Οι υποτροφίες </w:t>
            </w:r>
            <w:r w:rsidR="00736BEA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θα απονέμ</w:t>
            </w:r>
            <w:r w:rsidR="004A17C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ονται</w:t>
            </w:r>
            <w:r w:rsidR="00736BEA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σύμφωνα με 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τις ακαδημαϊκές επιδόσεις των υποτρόφων</w:t>
            </w:r>
            <w:r w:rsidR="004A17C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και κοινωνικά κριτήρια</w:t>
            </w:r>
            <w:r w:rsidR="00725119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και</w:t>
            </w:r>
            <w:r w:rsidR="00AF3A85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αφορούν μαθητές/μαθήτριες αποφοίτους Εκπαιδευτικών Ιδρυμάτων στην Κύπρο</w:t>
            </w:r>
            <w:r w:rsidR="00725119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,</w:t>
            </w:r>
            <w:r w:rsidR="00AF3A85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καθώς και φοιτητές/φοιτήτριες που ήδη φοιτούν στο εξωτερικό. </w:t>
            </w:r>
          </w:p>
          <w:p w14:paraId="0AAB840A" w14:textId="77777777" w:rsidR="00DF58A0" w:rsidRPr="002E4198" w:rsidRDefault="00DF58A0" w:rsidP="00DF58A0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</w:p>
          <w:p w14:paraId="345E78F2" w14:textId="1B085B55" w:rsidR="00DF58A0" w:rsidRPr="002E4198" w:rsidRDefault="00CE176D" w:rsidP="00DF58A0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Συγκεκριμένα οι υποτροφίες </w:t>
            </w:r>
            <w:r w:rsidR="00DF58A0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σχετίζονται με </w:t>
            </w:r>
            <w:r w:rsidR="00DF58A0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προπτυχιακές ή μεταπτυχιακές σπουδές </w:t>
            </w:r>
            <w:r w:rsidR="001753D1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μ</w:t>
            </w:r>
            <w:r w:rsidR="00DF58A0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άστερ (</w:t>
            </w:r>
            <w:r w:rsidR="00C0177C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M</w:t>
            </w:r>
            <w:r w:rsidR="00DF58A0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aster)</w:t>
            </w:r>
            <w:r w:rsidR="00E52F86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στο εξωτερικό </w:t>
            </w:r>
            <w:r w:rsidR="00DF58A0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σ</w:t>
            </w:r>
            <w:r w:rsidR="007B1467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τους</w:t>
            </w:r>
            <w:r w:rsidR="00DF58A0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κλάδους: </w:t>
            </w:r>
          </w:p>
          <w:p w14:paraId="6ABA60E0" w14:textId="77777777" w:rsidR="007B1467" w:rsidRPr="002E4198" w:rsidRDefault="007B1467" w:rsidP="00DF58A0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</w:p>
          <w:p w14:paraId="53E3C183" w14:textId="442225DB" w:rsidR="00DF58A0" w:rsidRPr="009F7342" w:rsidRDefault="00DF58A0" w:rsidP="00DF58A0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402F00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-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 NAVAL ARCHITECTURE </w:t>
            </w:r>
            <w:r w:rsidR="00321FE1" w:rsidRPr="00402F00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/</w:t>
            </w:r>
            <w:r w:rsidR="00E52F86" w:rsidRPr="00402F00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MARINE</w:t>
            </w:r>
            <w:r w:rsidRPr="00402F00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ENGINEERING</w:t>
            </w:r>
            <w:r w:rsidR="005606D3" w:rsidRPr="00402F00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664B74" w:rsidRPr="009F7342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(</w:t>
            </w:r>
            <w:r w:rsidR="009F7342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ΣΧΟΛΗ</w:t>
            </w:r>
            <w:r w:rsidR="009F7342" w:rsidRPr="00BE301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402F00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ΝΑΥΠΗΓΩΝ</w:t>
            </w:r>
            <w:r w:rsidR="00664B74" w:rsidRPr="009F7342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)</w:t>
            </w:r>
          </w:p>
          <w:p w14:paraId="1FFB0CB0" w14:textId="791B376D" w:rsidR="00091414" w:rsidRPr="00540025" w:rsidRDefault="00E52F86" w:rsidP="00E52F86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</w:pP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- </w:t>
            </w:r>
            <w:r w:rsidR="00FB19C5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ΜΗΧΑΝΟΛΟΓ</w:t>
            </w:r>
            <w:r w:rsidR="00091414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ΟΙ </w:t>
            </w:r>
            <w:r w:rsidR="00FB19C5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ΜΗΧΑΝΙΚ</w:t>
            </w:r>
            <w:r w:rsidR="00091414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ΟΙ</w:t>
            </w:r>
            <w:r w:rsidR="00FB19C5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 </w:t>
            </w:r>
            <w:r w:rsidR="00091414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/ 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ΗΛΕΚΤΡΟΛΟΓΟΙ </w:t>
            </w:r>
            <w:r w:rsidR="00091414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ΜΗΧΑΝΙΚΟΙ</w:t>
            </w:r>
          </w:p>
          <w:p w14:paraId="31E30D11" w14:textId="44E6F163" w:rsidR="00E52F86" w:rsidRPr="00937ACA" w:rsidRDefault="00091414" w:rsidP="00E52F86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</w:pPr>
            <w:r w:rsidRPr="00937AC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- </w:t>
            </w:r>
            <w:r w:rsidR="00E52F86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ΗΛΕΚΤΡΟΝΙΚΟΙ</w:t>
            </w:r>
            <w:r w:rsidR="00E52F86" w:rsidRPr="00937AC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 </w:t>
            </w:r>
            <w:r w:rsidR="00E52F86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ΜΗΧΑΝΙΚΟΙ</w:t>
            </w:r>
            <w:r w:rsidR="00E52F86" w:rsidRPr="00937AC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 </w:t>
            </w:r>
            <w:r w:rsidRPr="00937AC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/</w:t>
            </w:r>
            <w:r w:rsidR="00E52F86" w:rsidRPr="00937AC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 </w:t>
            </w:r>
            <w:r w:rsidR="00E52F86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M</w:t>
            </w:r>
            <w:r w:rsidR="00E52F86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ΗΧΑΝΙΚΟΙ</w:t>
            </w:r>
            <w:r w:rsidR="00E52F86" w:rsidRPr="00937AC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 </w:t>
            </w:r>
            <w:r w:rsidR="00E52F86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ΥΠΟΛΟΓΙΣΤΩΝ</w:t>
            </w:r>
            <w:r w:rsidR="00F85233" w:rsidRPr="00937ACA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 xml:space="preserve"> / </w:t>
            </w:r>
            <w:r w:rsidR="00F85233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ΑΥΤΟΜΑΤΙΣΜΟΙ</w:t>
            </w:r>
          </w:p>
          <w:p w14:paraId="3AB445E7" w14:textId="1FD9B871" w:rsidR="00E52F86" w:rsidRPr="00540025" w:rsidRDefault="00E52F86" w:rsidP="00E52F86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-</w:t>
            </w:r>
            <w:r w:rsidR="00540025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COMPUTER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SCIENCE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5233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/ 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CYBER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SECURITY</w:t>
            </w:r>
            <w:r w:rsidR="00AF4697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 xml:space="preserve"> / </w:t>
            </w:r>
            <w:r w:rsidR="000F5F67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ARTIFICIAL INTELLIGENCE / DATA SCIENCE ANALYTICS</w:t>
            </w:r>
          </w:p>
          <w:p w14:paraId="065A52FB" w14:textId="77777777" w:rsidR="001363AE" w:rsidRDefault="00E52F86" w:rsidP="004F3323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726A5D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-</w:t>
            </w:r>
            <w:r w:rsidR="00DF58A0" w:rsidRPr="00726A5D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DF58A0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n-US" w:eastAsia="el-GR"/>
              </w:rPr>
              <w:t>SHIPPING LAW </w:t>
            </w:r>
            <w:r w:rsidR="00F85233" w:rsidRPr="00726A5D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(</w:t>
            </w:r>
            <w:r w:rsidR="00F85233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ΝΑΥΤΙΚΟ</w:t>
            </w:r>
            <w:r w:rsidR="00F85233" w:rsidRPr="00726A5D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5233" w:rsidRPr="00540025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val="el-GR" w:eastAsia="el-GR"/>
              </w:rPr>
              <w:t>ΔΙΚΑΙΟ</w:t>
            </w:r>
            <w:r w:rsidR="00F85233" w:rsidRPr="00726A5D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)</w:t>
            </w:r>
          </w:p>
          <w:p w14:paraId="493E278B" w14:textId="77777777" w:rsidR="00BC34BD" w:rsidRPr="005606AF" w:rsidRDefault="00BC34BD" w:rsidP="00BC34BD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eastAsia="el-GR"/>
              </w:rPr>
            </w:pPr>
            <w:r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  <w:t>- MSc in SHIPPING TRADE &amp; F</w:t>
            </w:r>
            <w:r w:rsidRPr="005606AF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eastAsia="el-GR"/>
              </w:rPr>
              <w:t>INANCE</w:t>
            </w:r>
          </w:p>
          <w:p w14:paraId="522B3FEC" w14:textId="77777777" w:rsidR="0043236B" w:rsidRPr="00BC34BD" w:rsidRDefault="0043236B" w:rsidP="0071407D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18"/>
                <w:szCs w:val="18"/>
                <w:bdr w:val="none" w:sz="0" w:space="0" w:color="auto" w:frame="1"/>
                <w:lang w:eastAsia="el-GR"/>
              </w:rPr>
            </w:pPr>
          </w:p>
          <w:p w14:paraId="542E2BC1" w14:textId="77777777" w:rsidR="00927182" w:rsidRPr="00BC34BD" w:rsidRDefault="00927182" w:rsidP="00927182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el-GR"/>
              </w:rPr>
            </w:pPr>
            <w:r w:rsidRPr="002E4198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l-GR"/>
              </w:rPr>
              <w:t> </w:t>
            </w:r>
          </w:p>
          <w:p w14:paraId="0A51604F" w14:textId="49F914AD" w:rsidR="00927182" w:rsidRPr="00726A5D" w:rsidRDefault="00927182" w:rsidP="00927182">
            <w:pPr>
              <w:shd w:val="clear" w:color="auto" w:fill="FFFFFF"/>
              <w:spacing w:line="216" w:lineRule="atLeast"/>
              <w:jc w:val="both"/>
              <w:rPr>
                <w:rFonts w:ascii="Segoe UI" w:eastAsia="Times New Roman" w:hAnsi="Segoe UI" w:cs="Segoe UI"/>
                <w:b/>
                <w:bCs/>
                <w:color w:val="201F1E"/>
                <w:sz w:val="20"/>
                <w:szCs w:val="20"/>
                <w:lang w:eastAsia="el-GR"/>
              </w:rPr>
            </w:pPr>
            <w:r w:rsidRPr="002E4198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ΕΛΑΧΙΣΤΕΣ</w:t>
            </w:r>
            <w:r w:rsidRPr="00726A5D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el-GR"/>
              </w:rPr>
              <w:t> </w:t>
            </w:r>
            <w:r w:rsidRPr="002E4198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ΑΚΑΔΗΜΑΪΚΕΣ</w:t>
            </w:r>
            <w:r w:rsidRPr="00726A5D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eastAsia="el-GR"/>
              </w:rPr>
              <w:t xml:space="preserve"> </w:t>
            </w:r>
            <w:r w:rsidRPr="002E4198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ΕΠΙΔΟΣΕΙΣ</w:t>
            </w:r>
          </w:p>
          <w:p w14:paraId="6EE87E54" w14:textId="2AA4898C" w:rsidR="00927182" w:rsidRPr="002E4198" w:rsidRDefault="00927182" w:rsidP="001577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Segoe UI" w:eastAsia="Times New Roman" w:hAnsi="Segoe UI" w:cs="Segoe UI"/>
                <w:color w:val="201F1E"/>
                <w:sz w:val="20"/>
                <w:szCs w:val="20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Απόφοιτοι Λυκείου: Πιστοποίηση αποδοχής από αντίστοιχο Πανεπιστήμιο. Θα συνεκτιμηθούν οι βαθμοί του Κυπριακού απολυτηρίου (min 18.0) ή των Α-levels στα Μαθηματικά ή στην Φυσική (min</w:t>
            </w:r>
            <w:r w:rsidR="00C0177C" w:rsidRPr="00C0177C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.</w:t>
            </w:r>
            <w:r w:rsidR="00E45E5E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B).</w:t>
            </w:r>
          </w:p>
          <w:p w14:paraId="68434F3B" w14:textId="21FA47C9" w:rsidR="00927182" w:rsidRPr="002E4198" w:rsidRDefault="00927182" w:rsidP="001577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Segoe UI" w:eastAsia="Times New Roman" w:hAnsi="Segoe UI" w:cs="Segoe UI"/>
                <w:color w:val="201F1E"/>
                <w:sz w:val="20"/>
                <w:szCs w:val="20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Φοιτητές Ηνωμένου Βασιλείου: Μέσος όρος έτους άνω του 60% ή 2.1.</w:t>
            </w:r>
          </w:p>
          <w:p w14:paraId="794367DE" w14:textId="44A101F6" w:rsidR="00927182" w:rsidRPr="002E4198" w:rsidRDefault="00927182" w:rsidP="0015778F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Segoe UI" w:eastAsia="Times New Roman" w:hAnsi="Segoe UI" w:cs="Segoe UI"/>
                <w:color w:val="201F1E"/>
                <w:sz w:val="20"/>
                <w:szCs w:val="20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Φοιτητές Πολυτεχνείων Ελλάδας: Μέσος όρος έτους άνω του 6,5.</w:t>
            </w:r>
          </w:p>
          <w:p w14:paraId="293B286D" w14:textId="23F84885" w:rsidR="004A17C7" w:rsidRPr="002E4198" w:rsidRDefault="00927182" w:rsidP="004A17C7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Segoe UI" w:eastAsia="Times New Roman" w:hAnsi="Segoe UI" w:cs="Segoe UI"/>
                <w:color w:val="201F1E"/>
                <w:sz w:val="20"/>
                <w:szCs w:val="20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Μεταπτυχιακές σπουδές Μάστερ (M.Sc.) στο Ηνωμένο Βασίλειο: Βαθμός Πτυχίου Ελληνικού Πολυτεχνείου 7.5 ή Πανεπιστημίου του Ηνωμένου Βασιλείου 2.1.</w:t>
            </w:r>
          </w:p>
          <w:p w14:paraId="0702C959" w14:textId="3D8F926A" w:rsidR="004A17C7" w:rsidRPr="002E4198" w:rsidRDefault="004A17C7" w:rsidP="004A17C7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Φοι</w:t>
            </w:r>
            <w:r w:rsidR="007B146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τητές άλλων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πανεπιστημ</w:t>
            </w:r>
            <w:r w:rsidR="00C0177C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ια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κ</w:t>
            </w:r>
            <w:r w:rsidR="007B146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ών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ιδρ</w:t>
            </w:r>
            <w:r w:rsidR="007B146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υμάτων του εξωτερικού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: </w:t>
            </w:r>
            <w:r w:rsidR="007B1467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Μέσος όρος έτους άνω του </w:t>
            </w:r>
            <w:r w:rsidR="009C535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«</w:t>
            </w: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Λίαν Καλώς</w:t>
            </w:r>
            <w:r w:rsidR="009C535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»</w:t>
            </w:r>
          </w:p>
          <w:p w14:paraId="2833D0BD" w14:textId="77777777" w:rsidR="00927182" w:rsidRPr="002E4198" w:rsidRDefault="00927182" w:rsidP="00927182">
            <w:pPr>
              <w:shd w:val="clear" w:color="auto" w:fill="FFFFFF"/>
              <w:spacing w:line="216" w:lineRule="atLeast"/>
              <w:jc w:val="both"/>
              <w:rPr>
                <w:rFonts w:ascii="Segoe UI" w:eastAsia="Times New Roman" w:hAnsi="Segoe UI" w:cs="Segoe UI"/>
                <w:color w:val="201F1E"/>
                <w:sz w:val="20"/>
                <w:szCs w:val="20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 </w:t>
            </w:r>
          </w:p>
          <w:p w14:paraId="66DBAA70" w14:textId="77777777" w:rsidR="00927182" w:rsidRPr="002E4198" w:rsidRDefault="00927182" w:rsidP="00927182">
            <w:pPr>
              <w:shd w:val="clear" w:color="auto" w:fill="FFFFFF"/>
              <w:spacing w:line="216" w:lineRule="atLeast"/>
              <w:jc w:val="both"/>
              <w:rPr>
                <w:rFonts w:ascii="Segoe UI" w:eastAsia="Times New Roman" w:hAnsi="Segoe UI" w:cs="Segoe UI"/>
                <w:b/>
                <w:bCs/>
                <w:color w:val="201F1E"/>
                <w:sz w:val="20"/>
                <w:szCs w:val="20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ΚΟΙΝΩΝΙΚΑ ΚΡΙΤΗΡΙΑ</w:t>
            </w:r>
          </w:p>
          <w:p w14:paraId="25BC5DBA" w14:textId="0DE8C9DD" w:rsidR="00927182" w:rsidRPr="001D59D5" w:rsidRDefault="001D59D5" w:rsidP="00194E9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0"/>
                <w:szCs w:val="20"/>
                <w:lang w:val="el-GR" w:eastAsia="el-GR"/>
              </w:rPr>
            </w:pPr>
            <w:r>
              <w:rPr>
                <w:rFonts w:ascii="inherit" w:eastAsia="Times New Roman" w:hAnsi="inherit" w:cs="Segoe UI" w:hint="eastAsia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Α</w:t>
            </w:r>
            <w:r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) </w:t>
            </w:r>
            <w:r w:rsidR="00927182" w:rsidRPr="001D59D5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Οικογενειακή κατάσταση </w:t>
            </w:r>
            <w:r w:rsidRPr="001D59D5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και </w:t>
            </w:r>
            <w:r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Β) </w:t>
            </w:r>
            <w:r w:rsidR="0015778F" w:rsidRPr="001D59D5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Οικογενειακ</w:t>
            </w:r>
            <w:r w:rsidR="0015778F" w:rsidRPr="001D59D5">
              <w:rPr>
                <w:rFonts w:ascii="inherit" w:eastAsia="Times New Roman" w:hAnsi="inherit" w:cs="Segoe UI" w:hint="eastAsia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ό</w:t>
            </w:r>
            <w:r w:rsidR="00927182" w:rsidRPr="001D59D5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εισόδημα.</w:t>
            </w:r>
          </w:p>
          <w:p w14:paraId="2AFB37B1" w14:textId="77777777" w:rsidR="003B4681" w:rsidRPr="00937ACA" w:rsidRDefault="003B4681" w:rsidP="00927182">
            <w:pPr>
              <w:shd w:val="clear" w:color="auto" w:fill="FFFFFF"/>
              <w:spacing w:line="216" w:lineRule="atLeast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</w:p>
          <w:p w14:paraId="6BEC780D" w14:textId="3001635E" w:rsidR="00822590" w:rsidRPr="004C0BFA" w:rsidRDefault="00927182" w:rsidP="00EC2EA4">
            <w:pPr>
              <w:shd w:val="clear" w:color="auto" w:fill="FFFFFF"/>
              <w:spacing w:line="216" w:lineRule="atLeast"/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</w:pPr>
            <w:r w:rsidRPr="00606D8B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eastAsia="el-GR"/>
              </w:rPr>
              <w:t>  </w:t>
            </w:r>
            <w:r w:rsidR="002D43C9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Οι ενδιαφερόμενοι μπορούν να </w:t>
            </w:r>
            <w:r w:rsidR="005A0444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απευθυνθούν στην </w:t>
            </w:r>
            <w:hyperlink r:id="rId10" w:history="1">
              <w:r w:rsidR="005A0444" w:rsidRPr="002E4198">
                <w:rPr>
                  <w:rStyle w:val="Hyperlink"/>
                  <w:rFonts w:ascii="inherit" w:eastAsia="Times New Roman" w:hAnsi="inherit" w:cs="Segoe UI"/>
                  <w:b/>
                  <w:b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val="el-GR" w:eastAsia="el-GR"/>
                </w:rPr>
                <w:t>ιστοσελίδα</w:t>
              </w:r>
            </w:hyperlink>
            <w:r w:rsidR="000B0716" w:rsidRPr="002E4198">
              <w:rPr>
                <w:rStyle w:val="Hyperlink"/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:</w:t>
            </w:r>
            <w:r w:rsidR="005F521E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hyperlink r:id="rId11" w:history="1">
              <w:r w:rsidR="009270EC" w:rsidRPr="00A36AB1">
                <w:rPr>
                  <w:rStyle w:val="Hyperlink"/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eastAsia="el-GR"/>
                </w:rPr>
                <w:t>https</w:t>
              </w:r>
              <w:r w:rsidR="009270EC" w:rsidRPr="009270EC">
                <w:rPr>
                  <w:rStyle w:val="Hyperlink"/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val="el-GR" w:eastAsia="el-GR"/>
                </w:rPr>
                <w:t>://</w:t>
              </w:r>
              <w:r w:rsidR="009270EC" w:rsidRPr="00A36AB1">
                <w:rPr>
                  <w:rStyle w:val="Hyperlink"/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eastAsia="el-GR"/>
                </w:rPr>
                <w:t>safebulkers</w:t>
              </w:r>
              <w:r w:rsidR="009270EC" w:rsidRPr="009270EC">
                <w:rPr>
                  <w:rStyle w:val="Hyperlink"/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val="el-GR" w:eastAsia="el-GR"/>
                </w:rPr>
                <w:t>.</w:t>
              </w:r>
              <w:r w:rsidR="009270EC" w:rsidRPr="00A36AB1">
                <w:rPr>
                  <w:rStyle w:val="Hyperlink"/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eastAsia="el-GR"/>
                </w:rPr>
                <w:t>com</w:t>
              </w:r>
              <w:r w:rsidR="009270EC" w:rsidRPr="009270EC">
                <w:rPr>
                  <w:rStyle w:val="Hyperlink"/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val="el-GR" w:eastAsia="el-GR"/>
                </w:rPr>
                <w:t>/</w:t>
              </w:r>
              <w:r w:rsidR="009270EC" w:rsidRPr="00A36AB1">
                <w:rPr>
                  <w:rStyle w:val="Hyperlink"/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eastAsia="el-GR"/>
                </w:rPr>
                <w:t>scholarships</w:t>
              </w:r>
            </w:hyperlink>
            <w:r w:rsidR="009270EC" w:rsidRPr="009270EC">
              <w:rPr>
                <w:rStyle w:val="Hyperlink"/>
                <w:rFonts w:ascii="inherit" w:eastAsia="Times New Roman" w:hAnsi="inherit" w:cs="Segoe UI"/>
                <w:b/>
                <w:bCs/>
                <w:i/>
                <w:i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25</w:t>
            </w:r>
            <w:r w:rsidR="005F521E" w:rsidRPr="002E4198">
              <w:rPr>
                <w:rFonts w:ascii="inherit" w:eastAsia="Times New Roman" w:hAnsi="inherit" w:cs="Segoe UI"/>
                <w:b/>
                <w:bCs/>
                <w:i/>
                <w:i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5A0444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και να βρουν όλες τις πληροφορίες </w:t>
            </w:r>
            <w:r w:rsidR="00952C0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προκειμένου να συμπληρώσουν την </w:t>
            </w:r>
            <w:r w:rsidR="00DF10A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Α</w:t>
            </w:r>
            <w:r w:rsidR="00952C0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ίτηση συμμετοχής μέσω της ειδικής</w:t>
            </w:r>
            <w:r w:rsidR="00952C0C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hyperlink r:id="rId12" w:history="1">
              <w:r w:rsidR="00952C0C" w:rsidRPr="00B2038A">
                <w:rPr>
                  <w:rFonts w:ascii="inherit" w:eastAsia="Times New Roman" w:hAnsi="inherit" w:cs="Segoe UI"/>
                  <w:color w:val="201F1E"/>
                  <w:sz w:val="20"/>
                  <w:szCs w:val="20"/>
                  <w:bdr w:val="none" w:sz="0" w:space="0" w:color="auto" w:frame="1"/>
                  <w:lang w:val="el-GR" w:eastAsia="el-GR"/>
                </w:rPr>
                <w:t>ηλεκτρονικής φόρμας</w:t>
              </w:r>
            </w:hyperlink>
            <w:r w:rsidR="00952C0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καθώς και να υποβάλλουν τα απαιτούμενα δικαιολογητικά</w:t>
            </w:r>
            <w:r w:rsidR="00DF10A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.</w:t>
            </w:r>
            <w:r w:rsidR="00EC2EA4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</w:p>
          <w:p w14:paraId="7E3FF51F" w14:textId="77777777" w:rsidR="00822590" w:rsidRPr="004C0BFA" w:rsidRDefault="00822590" w:rsidP="00EC2EA4">
            <w:pPr>
              <w:shd w:val="clear" w:color="auto" w:fill="FFFFFF"/>
              <w:spacing w:line="216" w:lineRule="atLeast"/>
              <w:rPr>
                <w:color w:val="201F1E"/>
                <w:lang w:val="el-GR"/>
              </w:rPr>
            </w:pPr>
          </w:p>
          <w:p w14:paraId="6FB29DAC" w14:textId="75F9D9F1" w:rsidR="00952C0C" w:rsidRPr="002E4198" w:rsidRDefault="00EC2EA4" w:rsidP="00952C0C">
            <w:pPr>
              <w:shd w:val="clear" w:color="auto" w:fill="FFFFFF"/>
              <w:spacing w:line="216" w:lineRule="atLeast"/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Επίσης για οποιεσδήποτε διευκρινήσεις σχετικά με το πρόγραμμα υποτροφιών μπορείτε να απευθυνθείτε στο e-mail: </w:t>
            </w:r>
            <w:hyperlink r:id="rId13" w:tgtFrame="_blank" w:history="1">
              <w:r w:rsidRPr="002E4198">
                <w:rPr>
                  <w:rFonts w:ascii="inherit" w:eastAsia="Times New Roman" w:hAnsi="inherit" w:cs="Segoe UI"/>
                  <w:b/>
                  <w:bCs/>
                  <w:i/>
                  <w:iCs/>
                  <w:color w:val="2F5496" w:themeColor="accent1" w:themeShade="BF"/>
                  <w:sz w:val="20"/>
                  <w:szCs w:val="20"/>
                  <w:bdr w:val="none" w:sz="0" w:space="0" w:color="auto" w:frame="1"/>
                  <w:lang w:val="el-GR" w:eastAsia="el-GR"/>
                </w:rPr>
                <w:t>ypotrofies@safebulkers.com</w:t>
              </w:r>
            </w:hyperlink>
            <w:r w:rsidRPr="0043236B">
              <w:rPr>
                <w:rFonts w:ascii="inherit" w:eastAsia="Times New Roman" w:hAnsi="inherit" w:cs="Segoe UI"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710D70" w:rsidRPr="0043236B">
              <w:rPr>
                <w:rFonts w:ascii="inherit" w:eastAsia="Times New Roman" w:hAnsi="inherit" w:cs="Segoe UI"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.</w:t>
            </w:r>
            <w:r w:rsidR="00E45617">
              <w:rPr>
                <w:rFonts w:ascii="inherit" w:eastAsia="Times New Roman" w:hAnsi="inherit" w:cs="Segoe UI"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AC7F6A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Οι αιτήσεις για το </w:t>
            </w:r>
            <w:r w:rsidR="00AC7F6A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ακαδημαϊκό έτος </w:t>
            </w:r>
            <w:r w:rsidR="000C7F16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20</w:t>
            </w:r>
            <w:r w:rsidR="00C32E45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2</w:t>
            </w:r>
            <w:r w:rsidR="000B1887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5</w:t>
            </w:r>
            <w:r w:rsidR="000C7F16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-</w:t>
            </w:r>
            <w:r w:rsidR="00AC7F6A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202</w:t>
            </w:r>
            <w:r w:rsidR="000B1887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>6</w:t>
            </w:r>
            <w:r w:rsidR="00AC7F6A" w:rsidRPr="002E4198">
              <w:rPr>
                <w:rFonts w:ascii="inherit" w:eastAsia="Times New Roman" w:hAnsi="inherit" w:cs="Segoe UI"/>
                <w:color w:val="2F5496" w:themeColor="accent1" w:themeShade="BF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AC7F6A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θα πρέπει να κατατεθούν </w:t>
            </w:r>
            <w:r w:rsidR="00952C0C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στην εταιρεία έως τις </w:t>
            </w:r>
            <w:r w:rsidR="00A242EB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  <w:t>31</w:t>
            </w:r>
            <w:r w:rsidR="00773A3A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  <w:t xml:space="preserve"> </w:t>
            </w:r>
            <w:r w:rsidR="00E26E8B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  <w:t>ΑΥΓΟΥΣΤΟΥ</w:t>
            </w:r>
            <w:r w:rsidR="00CD2CD6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  <w:t xml:space="preserve"> </w:t>
            </w:r>
            <w:r w:rsidR="00952C0C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  <w:t>202</w:t>
            </w:r>
            <w:r w:rsidR="000B1887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  <w:t>5</w:t>
            </w:r>
            <w:r w:rsidR="00DF10AC" w:rsidRPr="002E4198">
              <w:rPr>
                <w:rFonts w:ascii="inherit" w:eastAsia="Times New Roman" w:hAnsi="inherit" w:cs="Segoe UI"/>
                <w:b/>
                <w:bCs/>
                <w:color w:val="2F5496" w:themeColor="accent1" w:themeShade="BF"/>
                <w:sz w:val="24"/>
                <w:szCs w:val="24"/>
                <w:u w:val="single"/>
                <w:bdr w:val="none" w:sz="0" w:space="0" w:color="auto" w:frame="1"/>
                <w:lang w:val="el-GR" w:eastAsia="el-GR"/>
              </w:rPr>
              <w:t>.</w:t>
            </w:r>
          </w:p>
          <w:p w14:paraId="0C7AFB53" w14:textId="77777777" w:rsidR="002D43C9" w:rsidRPr="002E4198" w:rsidRDefault="002D43C9" w:rsidP="00927182">
            <w:pPr>
              <w:shd w:val="clear" w:color="auto" w:fill="FFFFFF"/>
              <w:spacing w:line="216" w:lineRule="atLeast"/>
              <w:rPr>
                <w:rFonts w:ascii="inherit" w:eastAsia="Times New Roman" w:hAnsi="inherit" w:cs="Segoe UI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  <w:lang w:val="el-GR" w:eastAsia="el-GR"/>
              </w:rPr>
            </w:pPr>
          </w:p>
          <w:p w14:paraId="7734214A" w14:textId="4DF9E36D" w:rsidR="00646350" w:rsidRPr="00BA0DC0" w:rsidRDefault="00FA68C2" w:rsidP="00AD2A28">
            <w:pPr>
              <w:shd w:val="clear" w:color="auto" w:fill="FFFFFF"/>
              <w:spacing w:line="216" w:lineRule="atLeast"/>
              <w:rPr>
                <w:noProof/>
                <w:sz w:val="20"/>
                <w:szCs w:val="20"/>
                <w:lang w:val="el-GR"/>
              </w:rPr>
            </w:pPr>
            <w:r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Η</w:t>
            </w:r>
            <w:r w:rsidR="00FB5994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927182" w:rsidRPr="002E419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συμπλήρωση των δικαιολογητικών και πιστοποιητικών σπουδών μπορεί να γίνει αργότερα μέχρι την έναρξη του ακαδημαϊκού έτους. Η προέγκριση της υποτροφίας θα γίνει με βάση την Αίτηση, ενώ η τελική έγκριση θα δοθεί με την προσκόμιση των απαιτούμενων δικαιολογητικών</w:t>
            </w:r>
            <w:r w:rsidR="00AC4908" w:rsidRPr="00AC4908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 xml:space="preserve"> </w:t>
            </w:r>
            <w:r w:rsidR="00BA0DC0">
              <w:rPr>
                <w:rFonts w:ascii="inherit" w:eastAsia="Times New Roman" w:hAnsi="inherit" w:cs="Segoe UI"/>
                <w:color w:val="201F1E"/>
                <w:sz w:val="20"/>
                <w:szCs w:val="20"/>
                <w:bdr w:val="none" w:sz="0" w:space="0" w:color="auto" w:frame="1"/>
                <w:lang w:val="el-GR" w:eastAsia="el-GR"/>
              </w:rPr>
              <w:t>πριν από την τελική προθεσμία υποβολής των αιτήσεων.</w:t>
            </w:r>
          </w:p>
        </w:tc>
      </w:tr>
      <w:tr w:rsidR="004F3323" w:rsidRPr="00BC34BD" w14:paraId="4C3D1DC1" w14:textId="77777777" w:rsidTr="0043236B">
        <w:trPr>
          <w:trHeight w:val="198"/>
        </w:trPr>
        <w:tc>
          <w:tcPr>
            <w:tcW w:w="8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63ADD" w14:textId="77777777" w:rsidR="004F3323" w:rsidRDefault="004F3323" w:rsidP="00927182">
            <w:pPr>
              <w:shd w:val="clear" w:color="auto" w:fill="FFFFFF"/>
              <w:spacing w:line="216" w:lineRule="atLeast"/>
              <w:jc w:val="both"/>
              <w:rPr>
                <w:rFonts w:ascii="inherit" w:eastAsia="Times New Roman" w:hAnsi="inherit" w:cs="Segoe UI"/>
                <w:color w:val="201F1E"/>
                <w:sz w:val="16"/>
                <w:szCs w:val="16"/>
                <w:bdr w:val="none" w:sz="0" w:space="0" w:color="auto" w:frame="1"/>
                <w:lang w:val="el-GR" w:eastAsia="el-GR"/>
              </w:rPr>
            </w:pPr>
          </w:p>
        </w:tc>
      </w:tr>
    </w:tbl>
    <w:p w14:paraId="44C0E316" w14:textId="3F902AD0" w:rsidR="00741A95" w:rsidRPr="00AC4908" w:rsidRDefault="00741A95" w:rsidP="0043236B">
      <w:pPr>
        <w:rPr>
          <w:b/>
          <w:bCs/>
          <w:noProof/>
          <w:sz w:val="20"/>
          <w:szCs w:val="20"/>
          <w:lang w:val="el-GR"/>
        </w:rPr>
      </w:pPr>
    </w:p>
    <w:sectPr w:rsidR="00741A95" w:rsidRPr="00AC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E41"/>
    <w:multiLevelType w:val="hybridMultilevel"/>
    <w:tmpl w:val="B7F01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2B84"/>
    <w:multiLevelType w:val="hybridMultilevel"/>
    <w:tmpl w:val="5D2E36BA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0B95D2E"/>
    <w:multiLevelType w:val="hybridMultilevel"/>
    <w:tmpl w:val="672C6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02C0"/>
    <w:multiLevelType w:val="hybridMultilevel"/>
    <w:tmpl w:val="51FEF980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2A9000B"/>
    <w:multiLevelType w:val="hybridMultilevel"/>
    <w:tmpl w:val="9EC80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95228">
    <w:abstractNumId w:val="4"/>
  </w:num>
  <w:num w:numId="2" w16cid:durableId="151485364">
    <w:abstractNumId w:val="2"/>
  </w:num>
  <w:num w:numId="3" w16cid:durableId="593170966">
    <w:abstractNumId w:val="0"/>
  </w:num>
  <w:num w:numId="4" w16cid:durableId="1043167052">
    <w:abstractNumId w:val="3"/>
  </w:num>
  <w:num w:numId="5" w16cid:durableId="75740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95"/>
    <w:rsid w:val="00016B94"/>
    <w:rsid w:val="0001729E"/>
    <w:rsid w:val="00051C41"/>
    <w:rsid w:val="00054461"/>
    <w:rsid w:val="0008256E"/>
    <w:rsid w:val="00091414"/>
    <w:rsid w:val="000B0716"/>
    <w:rsid w:val="000B1887"/>
    <w:rsid w:val="000C7F16"/>
    <w:rsid w:val="000F5F67"/>
    <w:rsid w:val="00103765"/>
    <w:rsid w:val="00126424"/>
    <w:rsid w:val="00136012"/>
    <w:rsid w:val="001363AE"/>
    <w:rsid w:val="0015593F"/>
    <w:rsid w:val="001565A0"/>
    <w:rsid w:val="0015778F"/>
    <w:rsid w:val="0016476C"/>
    <w:rsid w:val="001753D1"/>
    <w:rsid w:val="00181A49"/>
    <w:rsid w:val="001A539A"/>
    <w:rsid w:val="001D3E1B"/>
    <w:rsid w:val="001D59D5"/>
    <w:rsid w:val="001E5B84"/>
    <w:rsid w:val="001F35E4"/>
    <w:rsid w:val="001F46A0"/>
    <w:rsid w:val="001F5263"/>
    <w:rsid w:val="00206C60"/>
    <w:rsid w:val="00254FA8"/>
    <w:rsid w:val="00257175"/>
    <w:rsid w:val="00261DC2"/>
    <w:rsid w:val="0027561B"/>
    <w:rsid w:val="002773F2"/>
    <w:rsid w:val="00287D5F"/>
    <w:rsid w:val="002A05E3"/>
    <w:rsid w:val="002D43C9"/>
    <w:rsid w:val="002E4198"/>
    <w:rsid w:val="003173BB"/>
    <w:rsid w:val="00321FE1"/>
    <w:rsid w:val="00370116"/>
    <w:rsid w:val="00372964"/>
    <w:rsid w:val="003731C4"/>
    <w:rsid w:val="00393476"/>
    <w:rsid w:val="003A0691"/>
    <w:rsid w:val="003A1F4D"/>
    <w:rsid w:val="003A674D"/>
    <w:rsid w:val="003B2CCD"/>
    <w:rsid w:val="003B4681"/>
    <w:rsid w:val="003C347C"/>
    <w:rsid w:val="003C532D"/>
    <w:rsid w:val="003D4D3C"/>
    <w:rsid w:val="003D76C9"/>
    <w:rsid w:val="003F416E"/>
    <w:rsid w:val="00402F00"/>
    <w:rsid w:val="004112BD"/>
    <w:rsid w:val="004124F2"/>
    <w:rsid w:val="004173C5"/>
    <w:rsid w:val="004200F4"/>
    <w:rsid w:val="0043236B"/>
    <w:rsid w:val="00436805"/>
    <w:rsid w:val="00462CE4"/>
    <w:rsid w:val="00467040"/>
    <w:rsid w:val="0049521A"/>
    <w:rsid w:val="004A0E90"/>
    <w:rsid w:val="004A17C7"/>
    <w:rsid w:val="004A695C"/>
    <w:rsid w:val="004A7F00"/>
    <w:rsid w:val="004C0BFA"/>
    <w:rsid w:val="004D5C0C"/>
    <w:rsid w:val="004E457B"/>
    <w:rsid w:val="004F3323"/>
    <w:rsid w:val="0050111F"/>
    <w:rsid w:val="00506868"/>
    <w:rsid w:val="005238B2"/>
    <w:rsid w:val="00540025"/>
    <w:rsid w:val="00546790"/>
    <w:rsid w:val="005606D3"/>
    <w:rsid w:val="00591453"/>
    <w:rsid w:val="00594058"/>
    <w:rsid w:val="005A0444"/>
    <w:rsid w:val="005A6B4B"/>
    <w:rsid w:val="005E499D"/>
    <w:rsid w:val="005F521E"/>
    <w:rsid w:val="00606D8B"/>
    <w:rsid w:val="00621745"/>
    <w:rsid w:val="00646350"/>
    <w:rsid w:val="00664B74"/>
    <w:rsid w:val="0068085C"/>
    <w:rsid w:val="006918AF"/>
    <w:rsid w:val="006C5051"/>
    <w:rsid w:val="00710D70"/>
    <w:rsid w:val="0071407D"/>
    <w:rsid w:val="00724985"/>
    <w:rsid w:val="00725119"/>
    <w:rsid w:val="00726A5D"/>
    <w:rsid w:val="00736BEA"/>
    <w:rsid w:val="00741A95"/>
    <w:rsid w:val="00773A3A"/>
    <w:rsid w:val="007B11DC"/>
    <w:rsid w:val="007B1467"/>
    <w:rsid w:val="007B4D9B"/>
    <w:rsid w:val="007C3285"/>
    <w:rsid w:val="008047D1"/>
    <w:rsid w:val="00817599"/>
    <w:rsid w:val="00822590"/>
    <w:rsid w:val="008556BB"/>
    <w:rsid w:val="00887FE9"/>
    <w:rsid w:val="00893CD7"/>
    <w:rsid w:val="008A1B82"/>
    <w:rsid w:val="008E6FBF"/>
    <w:rsid w:val="00901C5F"/>
    <w:rsid w:val="00915224"/>
    <w:rsid w:val="009270EC"/>
    <w:rsid w:val="00927182"/>
    <w:rsid w:val="00927986"/>
    <w:rsid w:val="00937ACA"/>
    <w:rsid w:val="00952C0C"/>
    <w:rsid w:val="009B3111"/>
    <w:rsid w:val="009C535C"/>
    <w:rsid w:val="009E0660"/>
    <w:rsid w:val="009F09C4"/>
    <w:rsid w:val="009F16B6"/>
    <w:rsid w:val="009F7342"/>
    <w:rsid w:val="00A242EB"/>
    <w:rsid w:val="00A54B9C"/>
    <w:rsid w:val="00A56AB7"/>
    <w:rsid w:val="00A63C1A"/>
    <w:rsid w:val="00AC0CB4"/>
    <w:rsid w:val="00AC4908"/>
    <w:rsid w:val="00AC7F6A"/>
    <w:rsid w:val="00AD1318"/>
    <w:rsid w:val="00AD2A28"/>
    <w:rsid w:val="00AE2D60"/>
    <w:rsid w:val="00AF3A85"/>
    <w:rsid w:val="00AF4697"/>
    <w:rsid w:val="00B2038A"/>
    <w:rsid w:val="00B36688"/>
    <w:rsid w:val="00B52EE2"/>
    <w:rsid w:val="00BA0DC0"/>
    <w:rsid w:val="00BA217A"/>
    <w:rsid w:val="00BC34BD"/>
    <w:rsid w:val="00BD2849"/>
    <w:rsid w:val="00BD6AD7"/>
    <w:rsid w:val="00BE301A"/>
    <w:rsid w:val="00C0177C"/>
    <w:rsid w:val="00C0653D"/>
    <w:rsid w:val="00C13493"/>
    <w:rsid w:val="00C32E45"/>
    <w:rsid w:val="00C9073E"/>
    <w:rsid w:val="00CD2CD6"/>
    <w:rsid w:val="00CE176D"/>
    <w:rsid w:val="00CE19C9"/>
    <w:rsid w:val="00CF0550"/>
    <w:rsid w:val="00D3633C"/>
    <w:rsid w:val="00D4774D"/>
    <w:rsid w:val="00DC61AF"/>
    <w:rsid w:val="00DD4D6F"/>
    <w:rsid w:val="00DE7680"/>
    <w:rsid w:val="00DF10AC"/>
    <w:rsid w:val="00DF58A0"/>
    <w:rsid w:val="00DF71B3"/>
    <w:rsid w:val="00E26E8B"/>
    <w:rsid w:val="00E27EDC"/>
    <w:rsid w:val="00E33C19"/>
    <w:rsid w:val="00E45158"/>
    <w:rsid w:val="00E45617"/>
    <w:rsid w:val="00E45E5E"/>
    <w:rsid w:val="00E52F86"/>
    <w:rsid w:val="00E71C0B"/>
    <w:rsid w:val="00EB5FEE"/>
    <w:rsid w:val="00EB6E01"/>
    <w:rsid w:val="00EC2EA4"/>
    <w:rsid w:val="00F441FB"/>
    <w:rsid w:val="00F44902"/>
    <w:rsid w:val="00F44BF5"/>
    <w:rsid w:val="00F70B10"/>
    <w:rsid w:val="00F8222E"/>
    <w:rsid w:val="00F85233"/>
    <w:rsid w:val="00FA090E"/>
    <w:rsid w:val="00FA61A8"/>
    <w:rsid w:val="00FA68C2"/>
    <w:rsid w:val="00FB19C5"/>
    <w:rsid w:val="00FB3D0C"/>
    <w:rsid w:val="00FB5994"/>
    <w:rsid w:val="00FC5915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0190"/>
  <w15:chartTrackingRefBased/>
  <w15:docId w15:val="{0CC1753F-1D63-49D6-9919-9A47C4E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7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48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6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1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03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76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2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5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9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3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NU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578E-BC6E-4F21-B57A-D42DFD94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Loucas Barbaris</dc:creator>
  <cp:keywords/>
  <dc:description/>
  <cp:lastModifiedBy>Myria Mylordou</cp:lastModifiedBy>
  <cp:revision>2</cp:revision>
  <cp:lastPrinted>2025-02-05T15:52:00Z</cp:lastPrinted>
  <dcterms:created xsi:type="dcterms:W3CDTF">2025-02-14T07:52:00Z</dcterms:created>
  <dcterms:modified xsi:type="dcterms:W3CDTF">2025-02-14T07:52:00Z</dcterms:modified>
</cp:coreProperties>
</file>